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94C" w:rsidRDefault="003D294C">
      <w:pPr>
        <w:spacing w:before="0" w:after="200" w:line="276" w:lineRule="auto"/>
        <w:jc w:val="left"/>
      </w:pPr>
    </w:p>
    <w:p w:rsidR="003D294C" w:rsidRDefault="003D294C">
      <w:pPr>
        <w:spacing w:before="0" w:after="200" w:line="276" w:lineRule="auto"/>
        <w:jc w:val="left"/>
      </w:pPr>
    </w:p>
    <w:p w:rsidR="003D294C" w:rsidRDefault="003D294C">
      <w:pPr>
        <w:spacing w:before="0" w:after="200" w:line="276" w:lineRule="auto"/>
        <w:jc w:val="left"/>
      </w:pPr>
    </w:p>
    <w:p w:rsidR="00A72325" w:rsidRDefault="00A72325">
      <w:pPr>
        <w:spacing w:before="0" w:after="200" w:line="276" w:lineRule="auto"/>
        <w:jc w:val="left"/>
      </w:pPr>
    </w:p>
    <w:p w:rsidR="00A72325" w:rsidRDefault="00A72325">
      <w:pPr>
        <w:spacing w:before="0" w:after="200" w:line="276" w:lineRule="auto"/>
        <w:jc w:val="left"/>
      </w:pPr>
    </w:p>
    <w:p w:rsidR="00A72325" w:rsidRDefault="00A72325">
      <w:pPr>
        <w:spacing w:before="0" w:after="200" w:line="276" w:lineRule="auto"/>
        <w:jc w:val="left"/>
      </w:pPr>
    </w:p>
    <w:p w:rsidR="00A72325" w:rsidRDefault="00A72325">
      <w:pPr>
        <w:spacing w:before="0" w:after="200" w:line="276" w:lineRule="auto"/>
        <w:jc w:val="left"/>
      </w:pPr>
    </w:p>
    <w:p w:rsidR="00A72325" w:rsidRDefault="00A72325">
      <w:pPr>
        <w:spacing w:before="0" w:after="200" w:line="276" w:lineRule="auto"/>
        <w:jc w:val="left"/>
      </w:pPr>
    </w:p>
    <w:p w:rsidR="003D294C" w:rsidRDefault="003D294C">
      <w:pPr>
        <w:spacing w:before="0" w:after="200" w:line="276" w:lineRule="auto"/>
        <w:jc w:val="left"/>
      </w:pPr>
    </w:p>
    <w:p w:rsidR="003D294C" w:rsidRPr="00A72325" w:rsidRDefault="00A72325" w:rsidP="00A72325">
      <w:pPr>
        <w:pStyle w:val="Zacznik"/>
      </w:pPr>
      <w:r w:rsidRPr="00A72325">
        <w:t xml:space="preserve">Załącznik </w:t>
      </w:r>
      <w:r w:rsidR="00314998">
        <w:t>4</w:t>
      </w:r>
    </w:p>
    <w:p w:rsidR="001E184A" w:rsidRDefault="00A72325" w:rsidP="001538C8">
      <w:pPr>
        <w:pStyle w:val="Zacznik"/>
      </w:pPr>
      <w:r w:rsidRPr="00A72325">
        <w:t xml:space="preserve">Analiza i ocena </w:t>
      </w:r>
      <w:r w:rsidR="003E5974">
        <w:br/>
      </w:r>
      <w:r w:rsidR="00314998">
        <w:t xml:space="preserve">skumulowanego </w:t>
      </w:r>
      <w:r w:rsidR="003E5974">
        <w:t>oddziaływania MPA</w:t>
      </w:r>
      <w:r w:rsidR="00314998">
        <w:br/>
      </w:r>
      <w:r w:rsidR="003E5974">
        <w:t xml:space="preserve"> na środowisko</w:t>
      </w:r>
    </w:p>
    <w:p w:rsidR="00A948AE" w:rsidRDefault="00A948AE" w:rsidP="001538C8">
      <w:pPr>
        <w:pStyle w:val="Zacznik"/>
        <w:sectPr w:rsidR="00A948AE" w:rsidSect="001538C8">
          <w:headerReference w:type="default" r:id="rId7"/>
          <w:pgSz w:w="11906" w:h="16838"/>
          <w:pgMar w:top="2268" w:right="1418" w:bottom="1418" w:left="1418" w:header="709" w:footer="709" w:gutter="0"/>
          <w:cols w:space="708"/>
          <w:docGrid w:linePitch="360"/>
        </w:sectPr>
      </w:pPr>
    </w:p>
    <w:p w:rsidR="00853E39" w:rsidRDefault="00853E39" w:rsidP="00853E39">
      <w:pPr>
        <w:spacing w:before="0" w:after="200" w:line="276" w:lineRule="auto"/>
        <w:jc w:val="left"/>
      </w:pPr>
      <w:r>
        <w:lastRenderedPageBreak/>
        <w:t xml:space="preserve">Tabela 8.1. Ocena oddziaływania skumulowanego </w:t>
      </w:r>
      <w:r w:rsidR="00100FAC">
        <w:t>MPA na środowisko</w:t>
      </w:r>
      <w:r>
        <w:t xml:space="preserve"> </w:t>
      </w:r>
    </w:p>
    <w:tbl>
      <w:tblPr>
        <w:tblStyle w:val="Tabela-Siatka"/>
        <w:tblW w:w="5050" w:type="pct"/>
        <w:tblLayout w:type="fixed"/>
        <w:tblLook w:val="04A0" w:firstRow="1" w:lastRow="0" w:firstColumn="1" w:lastColumn="0" w:noHBand="0" w:noVBand="1"/>
      </w:tblPr>
      <w:tblGrid>
        <w:gridCol w:w="1670"/>
        <w:gridCol w:w="1559"/>
        <w:gridCol w:w="2125"/>
        <w:gridCol w:w="1559"/>
        <w:gridCol w:w="2128"/>
        <w:gridCol w:w="1982"/>
        <w:gridCol w:w="3337"/>
      </w:tblGrid>
      <w:tr w:rsidR="0051027B" w:rsidRPr="0051027B" w:rsidTr="0051027B">
        <w:trPr>
          <w:tblHeader/>
        </w:trPr>
        <w:tc>
          <w:tcPr>
            <w:tcW w:w="581" w:type="pct"/>
            <w:shd w:val="clear" w:color="auto" w:fill="D9D9D9" w:themeFill="background1" w:themeFillShade="D9"/>
            <w:vAlign w:val="center"/>
          </w:tcPr>
          <w:p w:rsidR="0051027B" w:rsidRPr="0051027B" w:rsidRDefault="0051027B" w:rsidP="0051027B">
            <w:pPr>
              <w:pStyle w:val="Zawartotabeli"/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51027B">
              <w:rPr>
                <w:rFonts w:asciiTheme="minorHAnsi" w:hAnsiTheme="minorHAnsi"/>
                <w:b/>
              </w:rPr>
              <w:t xml:space="preserve">Dokumenty </w:t>
            </w:r>
          </w:p>
        </w:tc>
        <w:tc>
          <w:tcPr>
            <w:tcW w:w="543" w:type="pct"/>
            <w:shd w:val="clear" w:color="auto" w:fill="D9D9D9" w:themeFill="background1" w:themeFillShade="D9"/>
            <w:vAlign w:val="center"/>
          </w:tcPr>
          <w:p w:rsidR="0051027B" w:rsidRPr="0051027B" w:rsidRDefault="0051027B" w:rsidP="0051027B">
            <w:pPr>
              <w:pStyle w:val="Zawartotabeli"/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51027B">
              <w:rPr>
                <w:rFonts w:asciiTheme="minorHAnsi" w:hAnsiTheme="minorHAnsi"/>
                <w:b/>
              </w:rPr>
              <w:t>Działania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:rsidR="0051027B" w:rsidRPr="0051027B" w:rsidRDefault="0051027B" w:rsidP="0051027B">
            <w:pPr>
              <w:pStyle w:val="Zawartotabeli"/>
              <w:spacing w:before="120" w:after="120"/>
              <w:jc w:val="center"/>
              <w:rPr>
                <w:b/>
              </w:rPr>
            </w:pPr>
            <w:r w:rsidRPr="0051027B">
              <w:rPr>
                <w:b/>
              </w:rPr>
              <w:t>Cele ochrony środowiska, których realizacji działania nie służą lub z którymi pozostają w sprzeczności</w:t>
            </w:r>
          </w:p>
        </w:tc>
        <w:tc>
          <w:tcPr>
            <w:tcW w:w="543" w:type="pct"/>
            <w:shd w:val="clear" w:color="auto" w:fill="D9D9D9" w:themeFill="background1" w:themeFillShade="D9"/>
            <w:vAlign w:val="center"/>
          </w:tcPr>
          <w:p w:rsidR="0051027B" w:rsidRPr="0051027B" w:rsidRDefault="0051027B" w:rsidP="0051027B">
            <w:pPr>
              <w:pStyle w:val="Zawartotabeli"/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51027B">
              <w:rPr>
                <w:rFonts w:asciiTheme="minorHAnsi" w:hAnsiTheme="minorHAnsi"/>
                <w:b/>
              </w:rPr>
              <w:t>Wskaźniki oddziaływania</w:t>
            </w:r>
          </w:p>
        </w:tc>
        <w:tc>
          <w:tcPr>
            <w:tcW w:w="741" w:type="pct"/>
            <w:shd w:val="clear" w:color="auto" w:fill="D9D9D9" w:themeFill="background1" w:themeFillShade="D9"/>
            <w:vAlign w:val="center"/>
          </w:tcPr>
          <w:p w:rsidR="0051027B" w:rsidRPr="0051027B" w:rsidRDefault="0051027B" w:rsidP="0051027B">
            <w:pPr>
              <w:pStyle w:val="Zawartotabeli"/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51027B">
              <w:rPr>
                <w:rFonts w:asciiTheme="minorHAnsi" w:hAnsiTheme="minorHAnsi"/>
                <w:b/>
              </w:rPr>
              <w:t>Opis oddziaływania</w:t>
            </w:r>
          </w:p>
        </w:tc>
        <w:tc>
          <w:tcPr>
            <w:tcW w:w="690" w:type="pct"/>
            <w:shd w:val="clear" w:color="auto" w:fill="D9D9D9" w:themeFill="background1" w:themeFillShade="D9"/>
            <w:vAlign w:val="center"/>
          </w:tcPr>
          <w:p w:rsidR="0051027B" w:rsidRPr="0051027B" w:rsidRDefault="0051027B" w:rsidP="0051027B">
            <w:pPr>
              <w:pStyle w:val="Zawartotabeli"/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51027B">
              <w:rPr>
                <w:rFonts w:asciiTheme="minorHAnsi" w:hAnsiTheme="minorHAnsi"/>
                <w:b/>
              </w:rPr>
              <w:t>Charakter oddziaływania</w:t>
            </w:r>
          </w:p>
        </w:tc>
        <w:tc>
          <w:tcPr>
            <w:tcW w:w="1162" w:type="pct"/>
            <w:shd w:val="clear" w:color="auto" w:fill="D9D9D9" w:themeFill="background1" w:themeFillShade="D9"/>
            <w:vAlign w:val="center"/>
          </w:tcPr>
          <w:p w:rsidR="0051027B" w:rsidRPr="0051027B" w:rsidRDefault="0051027B" w:rsidP="0051027B">
            <w:pPr>
              <w:pStyle w:val="Zawartotabeli"/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51027B">
              <w:rPr>
                <w:rFonts w:asciiTheme="minorHAnsi" w:hAnsiTheme="minorHAnsi"/>
                <w:b/>
              </w:rPr>
              <w:t>Sposoby minimalizowania oddziaływania</w:t>
            </w:r>
          </w:p>
        </w:tc>
      </w:tr>
      <w:tr w:rsidR="0051027B" w:rsidRPr="003870CE" w:rsidTr="0051027B">
        <w:trPr>
          <w:trHeight w:val="714"/>
        </w:trPr>
        <w:tc>
          <w:tcPr>
            <w:tcW w:w="581" w:type="pct"/>
            <w:vAlign w:val="center"/>
          </w:tcPr>
          <w:p w:rsidR="0051027B" w:rsidRPr="0051027B" w:rsidRDefault="0051027B" w:rsidP="0051027B">
            <w:pPr>
              <w:spacing w:before="40" w:after="40"/>
              <w:jc w:val="center"/>
              <w:rPr>
                <w:b/>
                <w:color w:val="auto"/>
                <w:vertAlign w:val="subscript"/>
              </w:rPr>
            </w:pPr>
            <w:r w:rsidRPr="0051027B">
              <w:rPr>
                <w:rFonts w:asciiTheme="minorHAnsi" w:hAnsiTheme="minorHAnsi"/>
                <w:b/>
              </w:rPr>
              <w:t>MPA</w:t>
            </w:r>
          </w:p>
        </w:tc>
        <w:tc>
          <w:tcPr>
            <w:tcW w:w="543" w:type="pct"/>
            <w:vAlign w:val="center"/>
          </w:tcPr>
          <w:p w:rsidR="0051027B" w:rsidRPr="0051027B" w:rsidRDefault="0051027B" w:rsidP="0051027B">
            <w:pPr>
              <w:pStyle w:val="Zawartotabeli"/>
              <w:spacing w:before="40" w:after="40"/>
              <w:rPr>
                <w:lang w:eastAsia="en-US"/>
              </w:rPr>
            </w:pPr>
            <w:r w:rsidRPr="0051027B">
              <w:rPr>
                <w:b/>
                <w:u w:val="single"/>
                <w:lang w:eastAsia="en-US"/>
              </w:rPr>
              <w:t>Działanie 20b</w:t>
            </w:r>
            <w:r w:rsidRPr="0051027B">
              <w:rPr>
                <w:lang w:eastAsia="en-US"/>
              </w:rPr>
              <w:t xml:space="preserve"> Budowa nowych i remont istniejących wałów przeciwpowodziowych w przebiegu rzeki Wisły</w:t>
            </w:r>
          </w:p>
        </w:tc>
        <w:tc>
          <w:tcPr>
            <w:tcW w:w="740" w:type="pct"/>
            <w:vMerge w:val="restart"/>
          </w:tcPr>
          <w:p w:rsidR="0051027B" w:rsidRPr="0051027B" w:rsidRDefault="0051027B" w:rsidP="0051027B">
            <w:pPr>
              <w:spacing w:before="40" w:after="40"/>
              <w:jc w:val="left"/>
            </w:pPr>
            <w:bookmarkStart w:id="0" w:name="_Hlk520445929"/>
            <w:r w:rsidRPr="0051027B">
              <w:t>Zapewnienie ochrony cennych elementów przyrody w mieście</w:t>
            </w:r>
            <w:bookmarkEnd w:id="0"/>
            <w:r w:rsidRPr="0051027B">
              <w:t xml:space="preserve"> (1)</w:t>
            </w:r>
          </w:p>
          <w:p w:rsidR="0051027B" w:rsidRPr="0051027B" w:rsidRDefault="0051027B" w:rsidP="0051027B">
            <w:pPr>
              <w:spacing w:before="40" w:after="40"/>
              <w:jc w:val="left"/>
            </w:pPr>
            <w:bookmarkStart w:id="1" w:name="_Hlk518385073"/>
            <w:r w:rsidRPr="0051027B">
              <w:t xml:space="preserve">Tworzenie </w:t>
            </w:r>
            <w:bookmarkStart w:id="2" w:name="_Hlk518384613"/>
            <w:r w:rsidRPr="0051027B">
              <w:t>spójnego systemu przyrodniczego w mieście</w:t>
            </w:r>
            <w:bookmarkEnd w:id="2"/>
            <w:r w:rsidRPr="0051027B">
              <w:t>, zwiększanie powierzchni terenów pełniących funkcje przyrodnicze i zapewnienie powiązania terenów zielonych w mieście z jego przyrodniczym otoczeniem</w:t>
            </w:r>
            <w:bookmarkEnd w:id="1"/>
            <w:r w:rsidRPr="0051027B">
              <w:t xml:space="preserve"> (2)</w:t>
            </w:r>
          </w:p>
          <w:p w:rsidR="0051027B" w:rsidRPr="0051027B" w:rsidRDefault="0051027B" w:rsidP="0051027B">
            <w:pPr>
              <w:spacing w:before="40" w:after="40"/>
              <w:jc w:val="left"/>
            </w:pPr>
            <w:bookmarkStart w:id="3" w:name="_Hlk518385520"/>
            <w:bookmarkStart w:id="4" w:name="_Hlk520445946"/>
            <w:r w:rsidRPr="0051027B">
              <w:t xml:space="preserve">Przyczynienie się do </w:t>
            </w:r>
            <w:bookmarkStart w:id="5" w:name="_Hlk518384634"/>
            <w:r w:rsidRPr="0051027B">
              <w:t xml:space="preserve">zapewnienia różnorodności biologicznej </w:t>
            </w:r>
            <w:bookmarkEnd w:id="5"/>
            <w:r w:rsidRPr="0051027B">
              <w:t xml:space="preserve">poprzez ochronę siedlisk przyrodniczych oraz dzikiej fauny i flory, a także utrzymania </w:t>
            </w:r>
            <w:r w:rsidRPr="0051027B">
              <w:lastRenderedPageBreak/>
              <w:t xml:space="preserve">gatunków ptaków dziko występujących </w:t>
            </w:r>
            <w:bookmarkEnd w:id="3"/>
            <w:r w:rsidRPr="0051027B">
              <w:t>(cele sieci Natura 2000)</w:t>
            </w:r>
            <w:bookmarkEnd w:id="4"/>
            <w:r w:rsidRPr="0051027B">
              <w:t xml:space="preserve"> (3)</w:t>
            </w:r>
          </w:p>
          <w:p w:rsidR="0051027B" w:rsidRPr="0051027B" w:rsidRDefault="0051027B" w:rsidP="0051027B">
            <w:pPr>
              <w:spacing w:before="40" w:after="40"/>
              <w:jc w:val="left"/>
            </w:pPr>
            <w:bookmarkStart w:id="6" w:name="_Hlk518388969"/>
            <w:r w:rsidRPr="0051027B">
              <w:t>Zachowanie (lub odtwarzanie) biologicznych funkcji powierzchni ziemi</w:t>
            </w:r>
            <w:bookmarkEnd w:id="6"/>
            <w:r w:rsidRPr="0051027B">
              <w:t xml:space="preserve"> (4)</w:t>
            </w:r>
          </w:p>
          <w:p w:rsidR="0051027B" w:rsidRPr="0051027B" w:rsidRDefault="0051027B" w:rsidP="0051027B">
            <w:pPr>
              <w:spacing w:before="40" w:after="40"/>
              <w:rPr>
                <w:color w:val="FF0000"/>
              </w:rPr>
            </w:pPr>
          </w:p>
        </w:tc>
        <w:tc>
          <w:tcPr>
            <w:tcW w:w="543" w:type="pct"/>
            <w:vMerge w:val="restart"/>
          </w:tcPr>
          <w:p w:rsidR="0051027B" w:rsidRPr="0051027B" w:rsidRDefault="0051027B" w:rsidP="0051027B">
            <w:pPr>
              <w:spacing w:before="40" w:after="40"/>
              <w:jc w:val="left"/>
              <w:rPr>
                <w:color w:val="FF0000"/>
              </w:rPr>
            </w:pPr>
            <w:r w:rsidRPr="0051027B">
              <w:lastRenderedPageBreak/>
              <w:t>Stan siedlisk i gatunków objętych ochroną w ramach sieci Natura 2000 na obszarach: Włocławska Dolina Wisły i Dolina Dolnej Wisły</w:t>
            </w:r>
          </w:p>
        </w:tc>
        <w:tc>
          <w:tcPr>
            <w:tcW w:w="741" w:type="pct"/>
            <w:vMerge w:val="restart"/>
          </w:tcPr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bookmarkStart w:id="7" w:name="_Hlk520812442"/>
            <w:r w:rsidRPr="0051027B">
              <w:rPr>
                <w:color w:val="auto"/>
                <w:lang w:eastAsia="en-US"/>
              </w:rPr>
              <w:t>zmianie mogą ulec stosunki wodne na terenach, gdzie nastąpi budowa wałów, co może wpłynąć na przekształcenie aktualnie występujących poza wałami siedlisk przyrodniczych, w szczególności objętych ochroną w ramach sieci Natura 2000 (m.in. na skutek wzrostu głębokości i prędkości przepływu wód wezbraniowych);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 xml:space="preserve">możliwe zniszczenia siedlisk przyrodniczych i </w:t>
            </w:r>
            <w:r w:rsidRPr="0051027B">
              <w:rPr>
                <w:color w:val="auto"/>
                <w:lang w:eastAsia="en-US"/>
              </w:rPr>
              <w:lastRenderedPageBreak/>
              <w:t>siedlisk gatunków na etapie budowy wału;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ograniczenie powierzchni siedlisk  przyrodniczych zależnych od okresowych wylewów wód rzecznych,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zmniejszenie retencji wodnej w dolinie rzeki (groźba spadku poziomu wód gruntowych);</w:t>
            </w:r>
            <w:bookmarkEnd w:id="7"/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prowadzeniu  wykopów,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ingerencja wgłębna w strukturę gruntu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zmniejszenie retencji wodnej w dolinie rzeki (ryzyko spadku poziomu wód gruntowych),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 xml:space="preserve">podniesienie się poziomu zwierciadła </w:t>
            </w:r>
            <w:r w:rsidRPr="0051027B">
              <w:rPr>
                <w:color w:val="auto"/>
                <w:lang w:eastAsia="en-US"/>
              </w:rPr>
              <w:lastRenderedPageBreak/>
              <w:t>wód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bookmarkStart w:id="8" w:name="_Hlk520809548"/>
            <w:r w:rsidRPr="0051027B">
              <w:rPr>
                <w:color w:val="auto"/>
                <w:lang w:eastAsia="en-US"/>
              </w:rPr>
              <w:t>pogorszenie walorów krajobrazowych</w:t>
            </w:r>
            <w:bookmarkEnd w:id="8"/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FF0000"/>
              </w:rPr>
            </w:pPr>
            <w:bookmarkStart w:id="9" w:name="_Hlk520813913"/>
            <w:r w:rsidRPr="0051027B">
              <w:rPr>
                <w:color w:val="auto"/>
                <w:lang w:eastAsia="en-US"/>
              </w:rPr>
              <w:t xml:space="preserve">pogorszenie stanu doliny rzecznej jako korytarza ekologicznego (zawężenie strefy zalewowej z typowymi dla niej siedliskami do obszaru </w:t>
            </w:r>
            <w:proofErr w:type="spellStart"/>
            <w:r w:rsidRPr="0051027B">
              <w:rPr>
                <w:color w:val="auto"/>
                <w:lang w:eastAsia="en-US"/>
              </w:rPr>
              <w:t>międzywala</w:t>
            </w:r>
            <w:proofErr w:type="spellEnd"/>
            <w:r w:rsidRPr="0051027B">
              <w:rPr>
                <w:color w:val="auto"/>
                <w:lang w:eastAsia="en-US"/>
              </w:rPr>
              <w:t>)</w:t>
            </w:r>
            <w:bookmarkEnd w:id="9"/>
          </w:p>
        </w:tc>
        <w:tc>
          <w:tcPr>
            <w:tcW w:w="690" w:type="pct"/>
            <w:vMerge w:val="restart"/>
          </w:tcPr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lastRenderedPageBreak/>
              <w:t>bezpośrednie, pośrednie,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długoterminowe, krótkoterminowe</w:t>
            </w:r>
            <w:r>
              <w:rPr>
                <w:color w:val="auto"/>
                <w:lang w:eastAsia="en-US"/>
              </w:rPr>
              <w:t>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stałe,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pewne,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 xml:space="preserve">nieodwracalne, </w:t>
            </w:r>
            <w:r w:rsidRPr="0051027B">
              <w:rPr>
                <w:bCs/>
                <w:color w:val="auto"/>
                <w:lang w:eastAsia="en-US"/>
              </w:rPr>
              <w:t>możliwe do łagodzenia,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bCs/>
                <w:color w:val="auto"/>
                <w:lang w:eastAsia="en-US"/>
              </w:rPr>
              <w:t>negatywne,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zasięg lokalny, ponadlokalny, regionalny</w:t>
            </w:r>
          </w:p>
        </w:tc>
        <w:tc>
          <w:tcPr>
            <w:tcW w:w="1162" w:type="pct"/>
            <w:vMerge w:val="restart"/>
          </w:tcPr>
          <w:p w:rsidR="0051027B" w:rsidRPr="0051027B" w:rsidRDefault="0051027B" w:rsidP="0051027B">
            <w:pPr>
              <w:pStyle w:val="Wypunktowaniewtabeli"/>
              <w:numPr>
                <w:ilvl w:val="0"/>
                <w:numId w:val="0"/>
              </w:numPr>
              <w:spacing w:before="40" w:after="4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Przedstawiono wszystkie sposoby minimalizowania negatywnych skutków, z załącznika nr 3 – dla wszystkich wskazanych tam komponentów środowiska: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przeprowadzenie wcześniejszej inwentaryzacji przyrodniczej obszaru przewidzianego do budowy wału;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 xml:space="preserve">dostosowanie przebiegu wału (na etapie projektu) do występowania cennych siedlisk przyrodniczych (lasy, łąki, mokradła, starorzecza itp.); zaleca się pozostawianie całych starorzeczy i zalewowych w obrębie </w:t>
            </w:r>
            <w:proofErr w:type="spellStart"/>
            <w:r w:rsidRPr="0051027B">
              <w:rPr>
                <w:color w:val="auto"/>
                <w:lang w:eastAsia="en-US"/>
              </w:rPr>
              <w:t>międzywala</w:t>
            </w:r>
            <w:proofErr w:type="spellEnd"/>
            <w:r w:rsidRPr="0051027B">
              <w:rPr>
                <w:color w:val="auto"/>
                <w:lang w:eastAsia="en-US"/>
              </w:rPr>
              <w:t>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 xml:space="preserve">zaprojektowanie przepustów i przejść wałowych na rowach i innych ciekach wodnych w formie umożliwiającej drobnym zwierzętom migrację wzdłuż ich brzegów (płaskie półki na brzegach cieków w przepustach, unikanie </w:t>
            </w:r>
            <w:r w:rsidRPr="0051027B">
              <w:rPr>
                <w:color w:val="auto"/>
                <w:lang w:eastAsia="en-US"/>
              </w:rPr>
              <w:lastRenderedPageBreak/>
              <w:t>stosowania okrągłych rur itp.);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 xml:space="preserve">uwzględnienie w projekcie obniżeń i śluz wałowych umożliwiających zalew ekosystemów na </w:t>
            </w:r>
            <w:proofErr w:type="spellStart"/>
            <w:r w:rsidRPr="0051027B">
              <w:rPr>
                <w:color w:val="auto"/>
                <w:lang w:eastAsia="en-US"/>
              </w:rPr>
              <w:t>zawalu</w:t>
            </w:r>
            <w:proofErr w:type="spellEnd"/>
            <w:r w:rsidRPr="0051027B">
              <w:rPr>
                <w:color w:val="auto"/>
                <w:lang w:eastAsia="en-US"/>
              </w:rPr>
              <w:t>;</w:t>
            </w:r>
          </w:p>
          <w:p w:rsidR="0051027B" w:rsidRPr="0051027B" w:rsidRDefault="0051027B" w:rsidP="0051027B">
            <w:pPr>
              <w:pStyle w:val="Wypunktowaniewtabeli"/>
              <w:numPr>
                <w:ilvl w:val="0"/>
                <w:numId w:val="0"/>
              </w:numPr>
              <w:spacing w:before="40" w:after="40"/>
              <w:ind w:left="170" w:hanging="170"/>
              <w:rPr>
                <w:b/>
                <w:color w:val="auto"/>
                <w:lang w:eastAsia="en-US"/>
              </w:rPr>
            </w:pPr>
            <w:r w:rsidRPr="0051027B">
              <w:rPr>
                <w:b/>
                <w:color w:val="auto"/>
                <w:lang w:eastAsia="en-US"/>
              </w:rPr>
              <w:t>Podczas budowy wału: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przestrzeganie zasady ograniczania powierzchni cennych siedlisk przyrodniczych zniszczonych lub uszkodzonych w wyniku prac budowlanych;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przestrzeganie zasady ochrony (nienaruszania) elementów środowiska ważnych dla zachowania właściwego stanu korytarza ekologicznego wzdłuż danego odcinka doliny cieku wodnego zadrzewienia i zakrzaczenia, zbiorniki wodne, płaty roślinności szuwarowej, mokradła itp.);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wprowadzenie ograniczeń czasowych wykonywania robót związane z potrzebami ochrony cennych gatunków flory i fauny na terenach zalewowych;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lastRenderedPageBreak/>
              <w:t>po uzyskaniu stosownego pozwolenia, zapewnienie możliwości przeniesienia rzadkich gatunków roślin i zwierząt ze stanowisk, które ulegną zniszczeniu podczas budowy wału na inne stanowiska położone w bezpośrednim sąsiedztwie,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</w:pPr>
            <w:r w:rsidRPr="0051027B">
              <w:rPr>
                <w:color w:val="auto"/>
                <w:lang w:eastAsia="en-US"/>
              </w:rPr>
              <w:t>lokalizowanie miejsc tj. dróg technologicznych, placów i  zaplecza budowy, składów materiałów budowlanych, parkingów, itp. poza terenami cennymi przyrodniczo;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używanie wyłącznie sprawnego sprzętu, spełniającego wszystkie wymogi prawne w celu ochrony gruntu przed zanieczyszczeniami;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170" w:hanging="170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zapewnienie odprowadzenia ścieków deszczowych z utwardzonych placów z zapewnieniem usunięcia substancji ropopochodnych;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273" w:hanging="283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 xml:space="preserve">zakaz postoju oraz napraw sprzętu i maszyn, wymiany oleju, tankowania i magazynowania </w:t>
            </w:r>
            <w:r w:rsidRPr="0051027B">
              <w:rPr>
                <w:color w:val="auto"/>
                <w:lang w:eastAsia="en-US"/>
              </w:rPr>
              <w:lastRenderedPageBreak/>
              <w:t xml:space="preserve">materiałów pędnych w obrębie </w:t>
            </w:r>
            <w:proofErr w:type="spellStart"/>
            <w:r w:rsidRPr="0051027B">
              <w:rPr>
                <w:color w:val="auto"/>
                <w:lang w:eastAsia="en-US"/>
              </w:rPr>
              <w:t>międzywala</w:t>
            </w:r>
            <w:proofErr w:type="spellEnd"/>
            <w:r w:rsidRPr="0051027B">
              <w:rPr>
                <w:color w:val="auto"/>
                <w:lang w:eastAsia="en-US"/>
              </w:rPr>
              <w:t>, a także w obrębie terenów cennych przyrodniczo;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273" w:hanging="283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 xml:space="preserve">pozostawianie jak najszerszego </w:t>
            </w:r>
            <w:proofErr w:type="spellStart"/>
            <w:r w:rsidRPr="0051027B">
              <w:rPr>
                <w:color w:val="auto"/>
                <w:lang w:eastAsia="en-US"/>
              </w:rPr>
              <w:t>międzywala</w:t>
            </w:r>
            <w:proofErr w:type="spellEnd"/>
            <w:r w:rsidRPr="0051027B">
              <w:rPr>
                <w:color w:val="auto"/>
                <w:lang w:eastAsia="en-US"/>
              </w:rPr>
              <w:t>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273" w:hanging="283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nastawienie na ochronę zabudowań i infrastruktury a mniej grunty rolnych i leśnych;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273" w:hanging="273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pozostawienie urozmaiconej trasy obwałowań i różnicowanie przekroju poprzecznego wałów;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273" w:hanging="273"/>
              <w:rPr>
                <w:color w:val="auto"/>
                <w:lang w:eastAsia="en-US"/>
              </w:rPr>
            </w:pPr>
            <w:r w:rsidRPr="0051027B">
              <w:rPr>
                <w:color w:val="auto"/>
                <w:lang w:eastAsia="en-US"/>
              </w:rPr>
              <w:t>prowadzenie robót w porze suchej;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273" w:hanging="273"/>
              <w:rPr>
                <w:color w:val="auto"/>
                <w:lang w:eastAsia="en-US"/>
              </w:rPr>
            </w:pPr>
            <w:bookmarkStart w:id="10" w:name="_Hlk520809560"/>
            <w:r w:rsidRPr="0051027B">
              <w:rPr>
                <w:color w:val="auto"/>
                <w:lang w:eastAsia="en-US"/>
              </w:rPr>
              <w:t>na etapie projektowania dostosowanie wielkości i umiejscowienia wału do istniejących walorów krajobrazowych,</w:t>
            </w:r>
          </w:p>
          <w:p w:rsidR="0051027B" w:rsidRPr="0051027B" w:rsidRDefault="0051027B" w:rsidP="0051027B">
            <w:pPr>
              <w:pStyle w:val="Wypunktowaniewtabeli"/>
              <w:spacing w:before="40" w:after="40"/>
              <w:ind w:left="273" w:hanging="273"/>
              <w:rPr>
                <w:color w:val="FF0000"/>
              </w:rPr>
            </w:pPr>
            <w:r w:rsidRPr="0051027B">
              <w:rPr>
                <w:color w:val="auto"/>
                <w:lang w:eastAsia="en-US"/>
              </w:rPr>
              <w:t>nasadzenie roślinności z warunkami siedliskowymi, niezaburzające możliwości ochrony przeciwpowodziowej</w:t>
            </w:r>
            <w:bookmarkEnd w:id="10"/>
            <w:r w:rsidRPr="0051027B">
              <w:rPr>
                <w:color w:val="auto"/>
                <w:lang w:eastAsia="en-US"/>
              </w:rPr>
              <w:t>.</w:t>
            </w:r>
          </w:p>
        </w:tc>
      </w:tr>
      <w:tr w:rsidR="0051027B" w:rsidRPr="003870CE" w:rsidTr="0051027B">
        <w:tc>
          <w:tcPr>
            <w:tcW w:w="581" w:type="pct"/>
            <w:vAlign w:val="center"/>
          </w:tcPr>
          <w:p w:rsidR="0051027B" w:rsidRPr="003870CE" w:rsidRDefault="0051027B" w:rsidP="0051027B">
            <w:pPr>
              <w:jc w:val="center"/>
              <w:rPr>
                <w:sz w:val="18"/>
                <w:szCs w:val="18"/>
                <w:vertAlign w:val="subscript"/>
              </w:rPr>
            </w:pPr>
            <w:r w:rsidRPr="00686865">
              <w:rPr>
                <w:b/>
                <w:color w:val="auto"/>
              </w:rPr>
              <w:t>PLAN ZARZĄDZANIA RYZYKIEM POWODZIOWYM</w:t>
            </w:r>
            <w:r>
              <w:rPr>
                <w:b/>
                <w:color w:val="auto"/>
              </w:rPr>
              <w:t xml:space="preserve"> </w:t>
            </w:r>
            <w:r w:rsidRPr="00686865">
              <w:rPr>
                <w:b/>
                <w:color w:val="auto"/>
              </w:rPr>
              <w:t>DLA OBSZARU DORZECZA WISŁY (2016)</w:t>
            </w:r>
          </w:p>
        </w:tc>
        <w:tc>
          <w:tcPr>
            <w:tcW w:w="543" w:type="pct"/>
            <w:vAlign w:val="center"/>
          </w:tcPr>
          <w:p w:rsidR="0051027B" w:rsidRPr="0051027B" w:rsidRDefault="0051027B" w:rsidP="0051027B">
            <w:pPr>
              <w:pStyle w:val="Zawartotabeli"/>
              <w:spacing w:before="40" w:after="40"/>
              <w:rPr>
                <w:lang w:eastAsia="en-US"/>
              </w:rPr>
            </w:pPr>
            <w:r w:rsidRPr="0051027B">
              <w:rPr>
                <w:lang w:eastAsia="en-US"/>
              </w:rPr>
              <w:t>Ochrona przed wodami powodziowymi dolnego odcinka Wisły od Włocławka do jej ujścia do Zatoki – stopień wodny poniżej Włocławka.</w:t>
            </w:r>
          </w:p>
        </w:tc>
        <w:tc>
          <w:tcPr>
            <w:tcW w:w="740" w:type="pct"/>
            <w:vMerge/>
          </w:tcPr>
          <w:p w:rsidR="0051027B" w:rsidRPr="00B56DB6" w:rsidRDefault="0051027B" w:rsidP="00B828C3"/>
        </w:tc>
        <w:tc>
          <w:tcPr>
            <w:tcW w:w="543" w:type="pct"/>
            <w:vMerge/>
          </w:tcPr>
          <w:p w:rsidR="0051027B" w:rsidRPr="00B56DB6" w:rsidRDefault="0051027B" w:rsidP="00B828C3">
            <w:pPr>
              <w:jc w:val="left"/>
              <w:rPr>
                <w:i/>
              </w:rPr>
            </w:pPr>
          </w:p>
        </w:tc>
        <w:tc>
          <w:tcPr>
            <w:tcW w:w="741" w:type="pct"/>
            <w:vMerge/>
          </w:tcPr>
          <w:p w:rsidR="0051027B" w:rsidRPr="003870CE" w:rsidRDefault="0051027B" w:rsidP="00B828C3">
            <w:pPr>
              <w:pStyle w:val="Wypunktowaniewtabeli"/>
              <w:spacing w:line="276" w:lineRule="auto"/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:rsidR="0051027B" w:rsidRPr="003870CE" w:rsidRDefault="0051027B" w:rsidP="00B828C3">
            <w:pPr>
              <w:rPr>
                <w:sz w:val="18"/>
                <w:szCs w:val="18"/>
              </w:rPr>
            </w:pPr>
          </w:p>
        </w:tc>
        <w:tc>
          <w:tcPr>
            <w:tcW w:w="1162" w:type="pct"/>
            <w:vMerge/>
          </w:tcPr>
          <w:p w:rsidR="0051027B" w:rsidRPr="003870CE" w:rsidRDefault="0051027B" w:rsidP="00B828C3">
            <w:pPr>
              <w:pStyle w:val="Wypunktowaniewtabeli"/>
              <w:ind w:left="273" w:hanging="273"/>
              <w:rPr>
                <w:sz w:val="18"/>
                <w:szCs w:val="18"/>
              </w:rPr>
            </w:pPr>
          </w:p>
        </w:tc>
      </w:tr>
    </w:tbl>
    <w:p w:rsidR="0051027B" w:rsidRDefault="0051027B" w:rsidP="00240A64">
      <w:pPr>
        <w:spacing w:before="0" w:after="200" w:line="276" w:lineRule="auto"/>
        <w:jc w:val="left"/>
      </w:pPr>
      <w:bookmarkStart w:id="11" w:name="_GoBack"/>
      <w:bookmarkEnd w:id="11"/>
    </w:p>
    <w:sectPr w:rsidR="0051027B" w:rsidSect="003A79F7">
      <w:headerReference w:type="default" r:id="rId8"/>
      <w:pgSz w:w="16838" w:h="11906" w:orient="landscape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BED" w:rsidRDefault="00D72BED" w:rsidP="003D294C">
      <w:pPr>
        <w:spacing w:before="0"/>
      </w:pPr>
      <w:r>
        <w:separator/>
      </w:r>
    </w:p>
  </w:endnote>
  <w:endnote w:type="continuationSeparator" w:id="0">
    <w:p w:rsidR="00D72BED" w:rsidRDefault="00D72BED" w:rsidP="003D29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BED" w:rsidRDefault="00D72BED" w:rsidP="003D294C">
      <w:pPr>
        <w:spacing w:before="0"/>
      </w:pPr>
      <w:r>
        <w:separator/>
      </w:r>
    </w:p>
  </w:footnote>
  <w:footnote w:type="continuationSeparator" w:id="0">
    <w:p w:rsidR="00D72BED" w:rsidRDefault="00D72BED" w:rsidP="003D294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BED" w:rsidRDefault="0017791D" w:rsidP="003D294C">
    <w:pPr>
      <w:pStyle w:val="Nagwek"/>
      <w:jc w:val="center"/>
    </w:pPr>
    <w:r>
      <w:rPr>
        <w:noProof/>
      </w:rPr>
      <w:drawing>
        <wp:inline distT="0" distB="0" distL="0" distR="0" wp14:anchorId="4C967E5E" wp14:editId="447ABA1C">
          <wp:extent cx="5759450" cy="101704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70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BED" w:rsidRPr="004D105C" w:rsidRDefault="0017791D" w:rsidP="0017791D">
    <w:pPr>
      <w:pStyle w:val="Nagwek"/>
      <w:jc w:val="center"/>
    </w:pPr>
    <w:r>
      <w:rPr>
        <w:noProof/>
      </w:rPr>
      <w:drawing>
        <wp:inline distT="0" distB="0" distL="0" distR="0" wp14:anchorId="4C967E5E" wp14:editId="447ABA1C">
          <wp:extent cx="5771515" cy="10191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C63C8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1456D"/>
    <w:multiLevelType w:val="hybridMultilevel"/>
    <w:tmpl w:val="17128B7C"/>
    <w:lvl w:ilvl="0" w:tplc="9C889DC4">
      <w:start w:val="1"/>
      <w:numFmt w:val="bullet"/>
      <w:pStyle w:val="Wypunktowaniewtabeli"/>
      <w:lvlText w:val="-"/>
      <w:lvlJc w:val="left"/>
      <w:pPr>
        <w:ind w:left="50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26168"/>
    <w:multiLevelType w:val="hybridMultilevel"/>
    <w:tmpl w:val="9A6001BE"/>
    <w:lvl w:ilvl="0" w:tplc="42C29CF2">
      <w:start w:val="1"/>
      <w:numFmt w:val="decimal"/>
      <w:pStyle w:val="Tabela"/>
      <w:lvlText w:val="Tabela 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38E4063"/>
    <w:multiLevelType w:val="hybridMultilevel"/>
    <w:tmpl w:val="B8F6239E"/>
    <w:lvl w:ilvl="0" w:tplc="24CC3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26514"/>
    <w:multiLevelType w:val="multilevel"/>
    <w:tmpl w:val="CF8CB942"/>
    <w:lvl w:ilvl="0">
      <w:start w:val="1"/>
      <w:numFmt w:val="decimal"/>
      <w:pStyle w:val="Nagwek1"/>
      <w:lvlText w:val="%1"/>
      <w:lvlJc w:val="left"/>
      <w:pPr>
        <w:ind w:left="6245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E0B3191"/>
    <w:multiLevelType w:val="hybridMultilevel"/>
    <w:tmpl w:val="A7C82BA6"/>
    <w:lvl w:ilvl="0" w:tplc="24CC3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D5"/>
    <w:rsid w:val="00013897"/>
    <w:rsid w:val="0002770C"/>
    <w:rsid w:val="000313E4"/>
    <w:rsid w:val="00057003"/>
    <w:rsid w:val="000A38FA"/>
    <w:rsid w:val="000D6CD5"/>
    <w:rsid w:val="000E4601"/>
    <w:rsid w:val="00100FAC"/>
    <w:rsid w:val="00130320"/>
    <w:rsid w:val="00144BA0"/>
    <w:rsid w:val="001538C8"/>
    <w:rsid w:val="0017791D"/>
    <w:rsid w:val="00195D01"/>
    <w:rsid w:val="001C1718"/>
    <w:rsid w:val="001C2B7F"/>
    <w:rsid w:val="001C6565"/>
    <w:rsid w:val="001E184A"/>
    <w:rsid w:val="001E3C20"/>
    <w:rsid w:val="00200DFD"/>
    <w:rsid w:val="00240A64"/>
    <w:rsid w:val="00305263"/>
    <w:rsid w:val="00314998"/>
    <w:rsid w:val="00353FFE"/>
    <w:rsid w:val="00371F09"/>
    <w:rsid w:val="003A2605"/>
    <w:rsid w:val="003A79F7"/>
    <w:rsid w:val="003B0C13"/>
    <w:rsid w:val="003B51E6"/>
    <w:rsid w:val="003D294C"/>
    <w:rsid w:val="003E1088"/>
    <w:rsid w:val="003E5974"/>
    <w:rsid w:val="00446B17"/>
    <w:rsid w:val="00454F38"/>
    <w:rsid w:val="00456B0A"/>
    <w:rsid w:val="00472BAB"/>
    <w:rsid w:val="00481428"/>
    <w:rsid w:val="004B6E75"/>
    <w:rsid w:val="004D105C"/>
    <w:rsid w:val="004F71C7"/>
    <w:rsid w:val="00502EC7"/>
    <w:rsid w:val="0051027B"/>
    <w:rsid w:val="00533988"/>
    <w:rsid w:val="00562536"/>
    <w:rsid w:val="00582CF1"/>
    <w:rsid w:val="005A7B04"/>
    <w:rsid w:val="005D0DC2"/>
    <w:rsid w:val="005D6A1F"/>
    <w:rsid w:val="00617564"/>
    <w:rsid w:val="00687128"/>
    <w:rsid w:val="006A23D4"/>
    <w:rsid w:val="006D0FFA"/>
    <w:rsid w:val="006E63DD"/>
    <w:rsid w:val="006F36C9"/>
    <w:rsid w:val="00730B04"/>
    <w:rsid w:val="00755B21"/>
    <w:rsid w:val="00762FD1"/>
    <w:rsid w:val="00773681"/>
    <w:rsid w:val="00840CB1"/>
    <w:rsid w:val="00853E39"/>
    <w:rsid w:val="00867541"/>
    <w:rsid w:val="008E1BD6"/>
    <w:rsid w:val="009A5901"/>
    <w:rsid w:val="009C30D3"/>
    <w:rsid w:val="009E0B37"/>
    <w:rsid w:val="009F2769"/>
    <w:rsid w:val="00A72325"/>
    <w:rsid w:val="00A767B2"/>
    <w:rsid w:val="00A948AE"/>
    <w:rsid w:val="00AD1721"/>
    <w:rsid w:val="00B55DA4"/>
    <w:rsid w:val="00B6548F"/>
    <w:rsid w:val="00B76395"/>
    <w:rsid w:val="00BA1D03"/>
    <w:rsid w:val="00BB4D03"/>
    <w:rsid w:val="00C16626"/>
    <w:rsid w:val="00C61173"/>
    <w:rsid w:val="00C76762"/>
    <w:rsid w:val="00CB304E"/>
    <w:rsid w:val="00CE52CA"/>
    <w:rsid w:val="00D170E4"/>
    <w:rsid w:val="00D22C0C"/>
    <w:rsid w:val="00D45BD0"/>
    <w:rsid w:val="00D72BED"/>
    <w:rsid w:val="00DC5226"/>
    <w:rsid w:val="00E70CF0"/>
    <w:rsid w:val="00EC53DB"/>
    <w:rsid w:val="00EF6620"/>
    <w:rsid w:val="00F93884"/>
    <w:rsid w:val="00FD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664EAB74-9C32-4D54-825C-AFB5C84C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CD5"/>
    <w:pPr>
      <w:spacing w:before="120" w:after="0" w:line="240" w:lineRule="auto"/>
      <w:jc w:val="both"/>
    </w:pPr>
    <w:rPr>
      <w:rFonts w:eastAsia="Calibri" w:cs="Times New Roman"/>
      <w:color w:val="00000A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D6CD5"/>
    <w:pPr>
      <w:numPr>
        <w:numId w:val="2"/>
      </w:numPr>
      <w:spacing w:before="360" w:after="240" w:line="259" w:lineRule="auto"/>
      <w:ind w:left="432"/>
      <w:jc w:val="left"/>
      <w:outlineLvl w:val="0"/>
    </w:pPr>
    <w:rPr>
      <w:rFonts w:eastAsiaTheme="majorEastAsia"/>
      <w:b/>
      <w:bCs/>
      <w:color w:val="71BF4B"/>
      <w:sz w:val="36"/>
      <w:szCs w:val="36"/>
    </w:rPr>
  </w:style>
  <w:style w:type="paragraph" w:styleId="Nagwek2">
    <w:name w:val="heading 2"/>
    <w:basedOn w:val="Normalny"/>
    <w:link w:val="Nagwek2Znak"/>
    <w:uiPriority w:val="9"/>
    <w:unhideWhenUsed/>
    <w:qFormat/>
    <w:rsid w:val="000D6CD5"/>
    <w:pPr>
      <w:numPr>
        <w:ilvl w:val="1"/>
        <w:numId w:val="2"/>
      </w:numPr>
      <w:spacing w:before="360" w:after="120" w:line="259" w:lineRule="auto"/>
      <w:ind w:left="578" w:hanging="578"/>
      <w:outlineLvl w:val="1"/>
    </w:pPr>
    <w:rPr>
      <w:rFonts w:eastAsiaTheme="majorEastAsia"/>
      <w:b/>
      <w:bCs/>
      <w:color w:val="71BF4B"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rsid w:val="000D6CD5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0D6CD5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0D6CD5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0D6CD5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0D6CD5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0D6CD5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link w:val="ZawartotabeliZnak"/>
    <w:qFormat/>
    <w:rsid w:val="000D6CD5"/>
    <w:pPr>
      <w:spacing w:before="0"/>
      <w:jc w:val="left"/>
    </w:pPr>
  </w:style>
  <w:style w:type="character" w:customStyle="1" w:styleId="ZawartotabeliZnak">
    <w:name w:val="Zawartość tabeli Znak"/>
    <w:basedOn w:val="Domylnaczcionkaakapitu"/>
    <w:link w:val="Zawartotabeli"/>
    <w:rsid w:val="000D6CD5"/>
    <w:rPr>
      <w:rFonts w:eastAsia="Calibri" w:cs="Times New Roman"/>
      <w:color w:val="00000A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D6CD5"/>
    <w:rPr>
      <w:rFonts w:eastAsiaTheme="majorEastAsia" w:cs="Times New Roman"/>
      <w:b/>
      <w:bCs/>
      <w:color w:val="71BF4B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6CD5"/>
    <w:rPr>
      <w:rFonts w:eastAsiaTheme="majorEastAsia" w:cs="Times New Roman"/>
      <w:b/>
      <w:bCs/>
      <w:color w:val="71BF4B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6CD5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6CD5"/>
    <w:rPr>
      <w:rFonts w:asciiTheme="majorHAnsi" w:eastAsiaTheme="majorEastAsia" w:hAnsiTheme="majorHAnsi" w:cstheme="majorBidi"/>
      <w:color w:val="243F60" w:themeColor="accent1" w:themeShade="7F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6CD5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6CD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6CD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6C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abela">
    <w:name w:val="Tabela"/>
    <w:basedOn w:val="Akapitzlist"/>
    <w:link w:val="TabelaZnak"/>
    <w:qFormat/>
    <w:rsid w:val="000D6CD5"/>
    <w:pPr>
      <w:numPr>
        <w:numId w:val="3"/>
      </w:numPr>
      <w:contextualSpacing w:val="0"/>
    </w:pPr>
  </w:style>
  <w:style w:type="character" w:customStyle="1" w:styleId="TabelaZnak">
    <w:name w:val="Tabela Znak"/>
    <w:basedOn w:val="Domylnaczcionkaakapitu"/>
    <w:link w:val="Tabela"/>
    <w:rsid w:val="000D6CD5"/>
    <w:rPr>
      <w:rFonts w:eastAsia="Calibri" w:cs="Times New Roman"/>
      <w:color w:val="00000A"/>
      <w:szCs w:val="20"/>
      <w:lang w:eastAsia="pl-PL"/>
    </w:rPr>
  </w:style>
  <w:style w:type="paragraph" w:styleId="Akapitzlist">
    <w:name w:val="List Paragraph"/>
    <w:aliases w:val="Resume Title,Citation List,Ha,List Paragraph1,Body,List Paragraph_Table bullets,Bullet List Paragraph,Listes,Paragraphe de liste 2,Reference list,Lettre d'introduction,Paragrafo elenco,1st level - Bullet List Paragraph,Yellow Bullet"/>
    <w:basedOn w:val="Normalny"/>
    <w:link w:val="AkapitzlistZnak"/>
    <w:uiPriority w:val="34"/>
    <w:qFormat/>
    <w:rsid w:val="000D6C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294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94C"/>
    <w:rPr>
      <w:rFonts w:eastAsia="Calibri" w:cs="Times New Roman"/>
      <w:color w:val="00000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94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94C"/>
    <w:rPr>
      <w:rFonts w:eastAsia="Calibri" w:cs="Times New Roman"/>
      <w:color w:val="00000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94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94C"/>
    <w:rPr>
      <w:rFonts w:ascii="Tahoma" w:eastAsia="Calibri" w:hAnsi="Tahoma" w:cs="Tahoma"/>
      <w:color w:val="00000A"/>
      <w:sz w:val="16"/>
      <w:szCs w:val="16"/>
      <w:lang w:eastAsia="pl-PL"/>
    </w:rPr>
  </w:style>
  <w:style w:type="paragraph" w:customStyle="1" w:styleId="Zacznik">
    <w:name w:val="Załącznik"/>
    <w:basedOn w:val="Nagwek1"/>
    <w:link w:val="ZacznikZnak"/>
    <w:qFormat/>
    <w:rsid w:val="00A72325"/>
    <w:pPr>
      <w:numPr>
        <w:numId w:val="0"/>
      </w:numPr>
      <w:jc w:val="right"/>
    </w:pPr>
    <w:rPr>
      <w:sz w:val="48"/>
      <w:szCs w:val="4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38C8"/>
    <w:pPr>
      <w:spacing w:before="0"/>
    </w:pPr>
    <w:rPr>
      <w:sz w:val="20"/>
    </w:rPr>
  </w:style>
  <w:style w:type="character" w:customStyle="1" w:styleId="ZacznikZnak">
    <w:name w:val="Załącznik Znak"/>
    <w:basedOn w:val="Nagwek1Znak"/>
    <w:link w:val="Zacznik"/>
    <w:rsid w:val="00A72325"/>
    <w:rPr>
      <w:rFonts w:eastAsiaTheme="majorEastAsia" w:cs="Times New Roman"/>
      <w:b/>
      <w:bCs/>
      <w:color w:val="71BF4B"/>
      <w:sz w:val="48"/>
      <w:szCs w:val="48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38C8"/>
    <w:rPr>
      <w:rFonts w:eastAsia="Calibri" w:cs="Times New Roman"/>
      <w:color w:val="00000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38C8"/>
    <w:rPr>
      <w:vertAlign w:val="superscript"/>
    </w:rPr>
  </w:style>
  <w:style w:type="table" w:styleId="Tabela-Siatka">
    <w:name w:val="Table Grid"/>
    <w:basedOn w:val="Standardowy"/>
    <w:uiPriority w:val="59"/>
    <w:rsid w:val="00773681"/>
    <w:pPr>
      <w:spacing w:after="0" w:line="240" w:lineRule="auto"/>
    </w:pPr>
    <w:rPr>
      <w:rFonts w:ascii="Calibri" w:eastAsia="Calibri" w:hAnsi="Calibri" w:cs="DejaVu San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dtytu">
    <w:name w:val="Śródtytuł"/>
    <w:basedOn w:val="Zacznik"/>
    <w:link w:val="rdtytuZnak"/>
    <w:qFormat/>
    <w:rsid w:val="00BA1D03"/>
    <w:pPr>
      <w:jc w:val="left"/>
    </w:pPr>
    <w:rPr>
      <w:sz w:val="28"/>
      <w:szCs w:val="28"/>
    </w:rPr>
  </w:style>
  <w:style w:type="character" w:customStyle="1" w:styleId="AkapitzlistZnak">
    <w:name w:val="Akapit z listą Znak"/>
    <w:aliases w:val="Resume Title Znak,Citation List Znak,Ha Znak,List Paragraph1 Znak,Body Znak,List Paragraph_Table bullets Znak,Bullet List Paragraph Znak,Listes Znak,Paragraphe de liste 2 Znak,Reference list Znak,Lettre d'introduction Znak"/>
    <w:basedOn w:val="Domylnaczcionkaakapitu"/>
    <w:link w:val="Akapitzlist"/>
    <w:uiPriority w:val="34"/>
    <w:rsid w:val="00240A64"/>
    <w:rPr>
      <w:rFonts w:eastAsia="Calibri" w:cs="Times New Roman"/>
      <w:color w:val="00000A"/>
      <w:szCs w:val="20"/>
      <w:lang w:eastAsia="pl-PL"/>
    </w:rPr>
  </w:style>
  <w:style w:type="character" w:customStyle="1" w:styleId="rdtytuZnak">
    <w:name w:val="Śródtytuł Znak"/>
    <w:basedOn w:val="ZacznikZnak"/>
    <w:link w:val="rdtytu"/>
    <w:rsid w:val="00BA1D03"/>
    <w:rPr>
      <w:rFonts w:eastAsiaTheme="majorEastAsia" w:cs="Times New Roman"/>
      <w:b/>
      <w:bCs/>
      <w:color w:val="71BF4B"/>
      <w:sz w:val="28"/>
      <w:szCs w:val="28"/>
      <w:lang w:eastAsia="pl-PL"/>
    </w:rPr>
  </w:style>
  <w:style w:type="paragraph" w:customStyle="1" w:styleId="Wypunktowaniewtabeli">
    <w:name w:val="Wypunktowanie w tabeli"/>
    <w:basedOn w:val="Zawartotabeli"/>
    <w:link w:val="WypunktowaniewtabeliZnak"/>
    <w:qFormat/>
    <w:rsid w:val="00240A64"/>
    <w:pPr>
      <w:numPr>
        <w:numId w:val="6"/>
      </w:numPr>
    </w:pPr>
  </w:style>
  <w:style w:type="character" w:customStyle="1" w:styleId="WypunktowaniewtabeliZnak">
    <w:name w:val="Wypunktowanie w tabeli Znak"/>
    <w:basedOn w:val="ZawartotabeliZnak"/>
    <w:link w:val="Wypunktowaniewtabeli"/>
    <w:rsid w:val="00240A64"/>
    <w:rPr>
      <w:rFonts w:eastAsia="Calibri" w:cs="Times New Roman"/>
      <w:color w:val="00000A"/>
      <w:szCs w:val="20"/>
      <w:lang w:eastAsia="pl-PL"/>
    </w:rPr>
  </w:style>
  <w:style w:type="table" w:customStyle="1" w:styleId="Tabelasiatki5ciemnaakcent51">
    <w:name w:val="Tabela siatki 5 — ciemna — akcent 51"/>
    <w:basedOn w:val="Standardowy"/>
    <w:uiPriority w:val="50"/>
    <w:rsid w:val="003A79F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3B5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51E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51E6"/>
    <w:rPr>
      <w:rFonts w:eastAsia="Calibri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51E6"/>
    <w:rPr>
      <w:rFonts w:eastAsia="Calibri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IOŚ-PIB</Company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Hajto</dc:creator>
  <cp:lastModifiedBy>Jarmoszewicz, Krzysztof</cp:lastModifiedBy>
  <cp:revision>3</cp:revision>
  <dcterms:created xsi:type="dcterms:W3CDTF">2018-08-01T14:21:00Z</dcterms:created>
  <dcterms:modified xsi:type="dcterms:W3CDTF">2018-08-16T11:37:00Z</dcterms:modified>
</cp:coreProperties>
</file>